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320" w:firstLineChars="300"/>
        <w:rPr>
          <w:rFonts w:hint="eastAsia" w:asciiTheme="minorEastAsia" w:hAnsiTheme="minorEastAsia" w:eastAsiaTheme="minorEastAsia" w:cstheme="minorEastAsia"/>
          <w:sz w:val="44"/>
          <w:szCs w:val="4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44"/>
          <w:szCs w:val="44"/>
          <w:lang w:eastAsia="zh-CN"/>
        </w:rPr>
        <w:t>企业在投标过程中遇到的问题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您是否在投标过程中遇到过下述困惑：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1、寻标之惑：</w:t>
      </w:r>
      <w:bookmarkStart w:id="0" w:name="_GoBack"/>
      <w:bookmarkEnd w:id="0"/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到哪里寻找投标项目线索？怎样解读国家产业发展政策导向？千里马网站、中移动网站是政府指定媒体吗？……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2、跟标之惑：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与客户没有前期沟通要不要跟踪已公告的项目？技术参数对我不利的项目如何扭转被动局面？如何引导招标人设定潜在投标人的资质条款？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3、控标之惑：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招标文件如何解读？怎样应对商务部分？评标办法中的价格公式怎样最优？如何在最短的时间制作优质投标文件？招标流程我们全面掌握吗？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4、评标之惑：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为什么同等条件下竞争对手屡屡胜出？评委由哪些人组成？招标人代表可以在评标现场做些什么？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5、定标之惑：</w:t>
      </w:r>
    </w:p>
    <w:p>
      <w:pPr>
        <w:ind w:firstLine="560" w:firstLineChars="200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中标通知书发出之后可以更改吗？签订合同之前招标人提出修改核心条款怎么办？对中标结果不满意如何质疑投诉？</w:t>
      </w: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   这一切，在这里，我们的专家给您一一解答。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行楷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李旭科书法">
    <w:panose1 w:val="02000603000000000000"/>
    <w:charset w:val="86"/>
    <w:family w:val="auto"/>
    <w:pitch w:val="default"/>
    <w:sig w:usb0="800002BF" w:usb1="08CF7CEA" w:usb2="00000012" w:usb3="00000000" w:csb0="00040000" w:csb1="00000000"/>
  </w:font>
  <w:font w:name="方正毡笔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篆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824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任我行</cp:lastModifiedBy>
  <dcterms:modified xsi:type="dcterms:W3CDTF">2019-03-12T08:13:07Z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